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AC" w:rsidRP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DCD">
        <w:rPr>
          <w:rFonts w:ascii="Times New Roman" w:hAnsi="Times New Roman" w:cs="Times New Roman"/>
          <w:b/>
          <w:sz w:val="24"/>
          <w:szCs w:val="24"/>
        </w:rPr>
        <w:t>T.C.</w:t>
      </w:r>
    </w:p>
    <w:p w:rsidR="009D5DCD" w:rsidRP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DCD">
        <w:rPr>
          <w:rFonts w:ascii="Times New Roman" w:hAnsi="Times New Roman" w:cs="Times New Roman"/>
          <w:b/>
          <w:sz w:val="24"/>
          <w:szCs w:val="24"/>
        </w:rPr>
        <w:t>STRATEJİ GELİŞTİRME DAİRE BAŞKANLIĞI</w:t>
      </w:r>
    </w:p>
    <w:p w:rsidR="009D5DCD" w:rsidRP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DCD">
        <w:rPr>
          <w:rFonts w:ascii="Times New Roman" w:hAnsi="Times New Roman" w:cs="Times New Roman"/>
          <w:b/>
          <w:sz w:val="24"/>
          <w:szCs w:val="24"/>
        </w:rPr>
        <w:t>SIFIR ATIK POLİTİKASI</w:t>
      </w:r>
    </w:p>
    <w:p w:rsid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DCD">
        <w:rPr>
          <w:rFonts w:ascii="Times New Roman" w:hAnsi="Times New Roman" w:cs="Times New Roman"/>
          <w:b/>
          <w:sz w:val="24"/>
          <w:szCs w:val="24"/>
        </w:rPr>
        <w:t>STRATEJİK EYLEM PLANI (2025-2027)</w:t>
      </w:r>
    </w:p>
    <w:p w:rsid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</w:t>
      </w:r>
    </w:p>
    <w:p w:rsid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DCD" w:rsidRDefault="009D5DCD" w:rsidP="009D5DCD">
      <w:pPr>
        <w:rPr>
          <w:rFonts w:ascii="Times New Roman" w:hAnsi="Times New Roman" w:cs="Times New Roman"/>
          <w:sz w:val="24"/>
          <w:szCs w:val="24"/>
        </w:rPr>
      </w:pPr>
    </w:p>
    <w:p w:rsidR="009D5DCD" w:rsidRP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DCD">
        <w:rPr>
          <w:rFonts w:ascii="Times New Roman" w:hAnsi="Times New Roman" w:cs="Times New Roman"/>
          <w:b/>
          <w:sz w:val="24"/>
          <w:szCs w:val="24"/>
        </w:rPr>
        <w:t>Hazırlayan:</w:t>
      </w:r>
    </w:p>
    <w:p w:rsidR="009D5DCD" w:rsidRPr="002B65D6" w:rsidRDefault="009D5DCD" w:rsidP="009D5DCD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Sıfır Atık ve Çevre Komisyonu</w:t>
      </w:r>
    </w:p>
    <w:p w:rsidR="009D5DCD" w:rsidRDefault="009D5DCD" w:rsidP="009D5D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5D6" w:rsidRP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Komisyon Üyeleri:</w:t>
      </w:r>
    </w:p>
    <w:p w:rsidR="002B65D6" w:rsidRP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 xml:space="preserve"> 1. Başkan: Havva ERDOĞAN</w:t>
      </w:r>
    </w:p>
    <w:p w:rsidR="002B65D6" w:rsidRP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 xml:space="preserve"> 2. Birim Koordinatörü: Sebati DEMİRCİ</w:t>
      </w:r>
    </w:p>
    <w:p w:rsidR="002B65D6" w:rsidRP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 xml:space="preserve"> 3. Üye: </w:t>
      </w:r>
      <w:proofErr w:type="gramStart"/>
      <w:r w:rsidRPr="002B65D6">
        <w:rPr>
          <w:rFonts w:ascii="Times New Roman" w:hAnsi="Times New Roman" w:cs="Times New Roman"/>
          <w:sz w:val="24"/>
          <w:szCs w:val="24"/>
        </w:rPr>
        <w:t>Adem</w:t>
      </w:r>
      <w:proofErr w:type="gramEnd"/>
      <w:r w:rsidRPr="002B65D6">
        <w:rPr>
          <w:rFonts w:ascii="Times New Roman" w:hAnsi="Times New Roman" w:cs="Times New Roman"/>
          <w:sz w:val="24"/>
          <w:szCs w:val="24"/>
        </w:rPr>
        <w:t xml:space="preserve"> ÖZMERT</w:t>
      </w:r>
    </w:p>
    <w:p w:rsidR="002B65D6" w:rsidRP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 xml:space="preserve"> 4. Üye: Fuat ARSLAN</w:t>
      </w:r>
    </w:p>
    <w:p w:rsidR="002B65D6" w:rsidRP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 xml:space="preserve"> 5. Üye: Sinan ÖZTEKİN</w:t>
      </w:r>
    </w:p>
    <w:p w:rsidR="002B65D6" w:rsidRP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 xml:space="preserve"> 6. Sıfır Atık Gönüllüsü: Mustafa SÖYLER</w:t>
      </w:r>
    </w:p>
    <w:p w:rsidR="002B65D6" w:rsidRDefault="002B65D6" w:rsidP="002B65D6">
      <w:pPr>
        <w:rPr>
          <w:rFonts w:ascii="Times New Roman" w:hAnsi="Times New Roman" w:cs="Times New Roman"/>
          <w:sz w:val="24"/>
          <w:szCs w:val="24"/>
        </w:rPr>
      </w:pPr>
    </w:p>
    <w:p w:rsidR="009D5DCD" w:rsidRPr="002B65D6" w:rsidRDefault="002B65D6" w:rsidP="002B6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5D6">
        <w:rPr>
          <w:rFonts w:ascii="Times New Roman" w:hAnsi="Times New Roman" w:cs="Times New Roman"/>
          <w:b/>
          <w:sz w:val="24"/>
          <w:szCs w:val="24"/>
        </w:rPr>
        <w:t>Onaylayan:</w:t>
      </w:r>
    </w:p>
    <w:p w:rsidR="002B65D6" w:rsidRPr="002B65D6" w:rsidRDefault="002B65D6" w:rsidP="002B6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Ertuğrul EĞRİ</w:t>
      </w:r>
    </w:p>
    <w:p w:rsidR="002B65D6" w:rsidRPr="002B65D6" w:rsidRDefault="002B65D6" w:rsidP="002B6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Daire Başkanı</w:t>
      </w:r>
    </w:p>
    <w:p w:rsidR="00D0637F" w:rsidRDefault="002B65D6" w:rsidP="002B6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05.11.2025</w:t>
      </w:r>
    </w:p>
    <w:p w:rsidR="00D0637F" w:rsidRPr="00D0637F" w:rsidRDefault="00D0637F" w:rsidP="00D0637F">
      <w:pPr>
        <w:rPr>
          <w:rFonts w:ascii="Times New Roman" w:hAnsi="Times New Roman" w:cs="Times New Roman"/>
          <w:sz w:val="24"/>
          <w:szCs w:val="24"/>
        </w:rPr>
      </w:pPr>
    </w:p>
    <w:p w:rsidR="00D0637F" w:rsidRPr="00D0637F" w:rsidRDefault="00D0637F" w:rsidP="00D0637F">
      <w:pPr>
        <w:rPr>
          <w:rFonts w:ascii="Times New Roman" w:hAnsi="Times New Roman" w:cs="Times New Roman"/>
          <w:sz w:val="24"/>
          <w:szCs w:val="24"/>
        </w:rPr>
      </w:pPr>
    </w:p>
    <w:p w:rsidR="00D0637F" w:rsidRPr="00D0637F" w:rsidRDefault="00D0637F" w:rsidP="00D0637F">
      <w:pPr>
        <w:rPr>
          <w:rFonts w:ascii="Times New Roman" w:hAnsi="Times New Roman" w:cs="Times New Roman"/>
          <w:sz w:val="24"/>
          <w:szCs w:val="24"/>
        </w:rPr>
      </w:pPr>
    </w:p>
    <w:p w:rsidR="00D0637F" w:rsidRPr="00D0637F" w:rsidRDefault="00D0637F" w:rsidP="00D0637F">
      <w:pPr>
        <w:rPr>
          <w:rFonts w:ascii="Times New Roman" w:hAnsi="Times New Roman" w:cs="Times New Roman"/>
          <w:sz w:val="24"/>
          <w:szCs w:val="24"/>
        </w:rPr>
      </w:pPr>
    </w:p>
    <w:p w:rsidR="00D0637F" w:rsidRPr="00D0637F" w:rsidRDefault="00D0637F" w:rsidP="00D0637F">
      <w:pPr>
        <w:rPr>
          <w:rFonts w:ascii="Times New Roman" w:hAnsi="Times New Roman" w:cs="Times New Roman"/>
          <w:sz w:val="24"/>
          <w:szCs w:val="24"/>
        </w:rPr>
      </w:pPr>
    </w:p>
    <w:p w:rsidR="00D0637F" w:rsidRDefault="00D0637F" w:rsidP="00D0637F">
      <w:pPr>
        <w:rPr>
          <w:rFonts w:ascii="Times New Roman" w:hAnsi="Times New Roman" w:cs="Times New Roman"/>
          <w:sz w:val="24"/>
          <w:szCs w:val="24"/>
        </w:rPr>
      </w:pPr>
    </w:p>
    <w:p w:rsidR="00D0637F" w:rsidRDefault="00D0637F" w:rsidP="00D0637F">
      <w:pPr>
        <w:rPr>
          <w:rFonts w:ascii="Times New Roman" w:hAnsi="Times New Roman" w:cs="Times New Roman"/>
          <w:sz w:val="24"/>
          <w:szCs w:val="24"/>
        </w:rPr>
      </w:pPr>
    </w:p>
    <w:p w:rsidR="002B65D6" w:rsidRDefault="00D0637F" w:rsidP="00D0637F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637F" w:rsidRPr="0080393E" w:rsidRDefault="00D0637F" w:rsidP="00D0637F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  <w:r w:rsidRPr="008039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GİRİŞ VE GENEL AMAÇ </w:t>
      </w:r>
    </w:p>
    <w:p w:rsidR="00D0637F" w:rsidRPr="00D0637F" w:rsidRDefault="0080393E" w:rsidP="0080393E">
      <w:pPr>
        <w:tabs>
          <w:tab w:val="left" w:pos="37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stratejik plan, Strateji Geliştirme Daire Başkanlığı’nda</w:t>
      </w:r>
      <w:r w:rsidR="00D0637F" w:rsidRPr="00D0637F">
        <w:rPr>
          <w:rFonts w:ascii="Times New Roman" w:hAnsi="Times New Roman" w:cs="Times New Roman"/>
          <w:sz w:val="24"/>
          <w:szCs w:val="24"/>
        </w:rPr>
        <w:t xml:space="preserve"> sıfır atık bilincinin geliştirilmesi, atıkların kaynağında ayrıştırılması, geri dönüşüm süreçlerinin oluşt</w:t>
      </w:r>
      <w:r>
        <w:rPr>
          <w:rFonts w:ascii="Times New Roman" w:hAnsi="Times New Roman" w:cs="Times New Roman"/>
          <w:sz w:val="24"/>
          <w:szCs w:val="24"/>
        </w:rPr>
        <w:t xml:space="preserve">urulması ve sürdürülebilir bir </w:t>
      </w:r>
      <w:r w:rsidR="00D0637F" w:rsidRPr="00D0637F">
        <w:rPr>
          <w:rFonts w:ascii="Times New Roman" w:hAnsi="Times New Roman" w:cs="Times New Roman"/>
          <w:sz w:val="24"/>
          <w:szCs w:val="24"/>
        </w:rPr>
        <w:t>çevre yönetim sisteminin inşa edilmesini amaçlamakta</w:t>
      </w:r>
      <w:r>
        <w:rPr>
          <w:rFonts w:ascii="Times New Roman" w:hAnsi="Times New Roman" w:cs="Times New Roman"/>
          <w:sz w:val="24"/>
          <w:szCs w:val="24"/>
        </w:rPr>
        <w:t xml:space="preserve">dır. Plan, Türkiye Cumhuriyeti Çevre, </w:t>
      </w:r>
      <w:r w:rsidR="00D0637F" w:rsidRPr="00D0637F">
        <w:rPr>
          <w:rFonts w:ascii="Times New Roman" w:hAnsi="Times New Roman" w:cs="Times New Roman"/>
          <w:sz w:val="24"/>
          <w:szCs w:val="24"/>
        </w:rPr>
        <w:t>Şehircilik ve İklim Değişikliği Bakanlığı’nın Sıfır A</w:t>
      </w:r>
      <w:r>
        <w:rPr>
          <w:rFonts w:ascii="Times New Roman" w:hAnsi="Times New Roman" w:cs="Times New Roman"/>
          <w:sz w:val="24"/>
          <w:szCs w:val="24"/>
        </w:rPr>
        <w:t xml:space="preserve">tık Yönetmeliği, Yükseköğretim </w:t>
      </w:r>
      <w:r w:rsidR="00D0637F" w:rsidRPr="00D0637F">
        <w:rPr>
          <w:rFonts w:ascii="Times New Roman" w:hAnsi="Times New Roman" w:cs="Times New Roman"/>
          <w:sz w:val="24"/>
          <w:szCs w:val="24"/>
        </w:rPr>
        <w:t>Kurumları Sıfır Atık Rehberi ve Tokat Gaziosmanpaşa Ün</w:t>
      </w:r>
      <w:r>
        <w:rPr>
          <w:rFonts w:ascii="Times New Roman" w:hAnsi="Times New Roman" w:cs="Times New Roman"/>
          <w:sz w:val="24"/>
          <w:szCs w:val="24"/>
        </w:rPr>
        <w:t xml:space="preserve">iversitesi Sıfır Atık Yönetimi </w:t>
      </w:r>
      <w:r w:rsidR="00D0637F" w:rsidRPr="00D0637F">
        <w:rPr>
          <w:rFonts w:ascii="Times New Roman" w:hAnsi="Times New Roman" w:cs="Times New Roman"/>
          <w:sz w:val="24"/>
          <w:szCs w:val="24"/>
        </w:rPr>
        <w:t xml:space="preserve">Koordinatörlüğü rehberliğinde hazırlanmıştır. </w:t>
      </w:r>
    </w:p>
    <w:p w:rsidR="00D0637F" w:rsidRPr="0080393E" w:rsidRDefault="00D0637F" w:rsidP="00D0637F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  <w:r w:rsidRPr="0080393E">
        <w:rPr>
          <w:rFonts w:ascii="Times New Roman" w:hAnsi="Times New Roman" w:cs="Times New Roman"/>
          <w:b/>
          <w:sz w:val="24"/>
          <w:szCs w:val="24"/>
        </w:rPr>
        <w:t xml:space="preserve">2. MİSYON </w:t>
      </w:r>
    </w:p>
    <w:p w:rsidR="00D0637F" w:rsidRPr="00D0637F" w:rsidRDefault="0080393E" w:rsidP="0080393E">
      <w:pPr>
        <w:tabs>
          <w:tab w:val="left" w:pos="37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3E">
        <w:rPr>
          <w:rFonts w:ascii="Times New Roman" w:hAnsi="Times New Roman" w:cs="Times New Roman"/>
          <w:sz w:val="24"/>
          <w:szCs w:val="24"/>
        </w:rPr>
        <w:t>Üniversitemizin idari süreçlerinde kaynakları verimli kullanmak, atık oluşumunu en aza indirmek ve sıfır atık ilkelerine uygun hizmet sunarak çevreye duyarlı bir yönetim anlayışı geliştirmek.</w:t>
      </w:r>
    </w:p>
    <w:p w:rsidR="00D0637F" w:rsidRPr="0080393E" w:rsidRDefault="00D0637F" w:rsidP="00D0637F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  <w:r w:rsidRPr="0080393E">
        <w:rPr>
          <w:rFonts w:ascii="Times New Roman" w:hAnsi="Times New Roman" w:cs="Times New Roman"/>
          <w:b/>
          <w:sz w:val="24"/>
          <w:szCs w:val="24"/>
        </w:rPr>
        <w:t xml:space="preserve">3. VİZYON </w:t>
      </w:r>
    </w:p>
    <w:p w:rsidR="0080393E" w:rsidRDefault="0080393E" w:rsidP="00A63D19">
      <w:pPr>
        <w:tabs>
          <w:tab w:val="left" w:pos="376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3E">
        <w:rPr>
          <w:rFonts w:ascii="Times New Roman" w:hAnsi="Times New Roman" w:cs="Times New Roman"/>
          <w:sz w:val="24"/>
          <w:szCs w:val="24"/>
        </w:rPr>
        <w:t>İdari süreçlerinde sıfır atık yaklaşımını benimseyen, kaynaklarını sürdürülebilir şekilde yöneten ve diğer kurumlara örnek teşkil eden çevre dostu bir üniversite olmak.</w:t>
      </w:r>
    </w:p>
    <w:p w:rsidR="00D0637F" w:rsidRPr="0080393E" w:rsidRDefault="00D0637F" w:rsidP="00D0637F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  <w:r w:rsidRPr="0080393E">
        <w:rPr>
          <w:rFonts w:ascii="Times New Roman" w:hAnsi="Times New Roman" w:cs="Times New Roman"/>
          <w:b/>
          <w:sz w:val="24"/>
          <w:szCs w:val="24"/>
        </w:rPr>
        <w:t xml:space="preserve">4. STRATEJİK AMAÇLAR </w:t>
      </w:r>
    </w:p>
    <w:p w:rsidR="0080393E" w:rsidRPr="0080393E" w:rsidRDefault="0080393E" w:rsidP="0080393E">
      <w:pPr>
        <w:tabs>
          <w:tab w:val="left" w:pos="37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Tüm idari birimlerde sıfır atık süreçlerinin etkin şekilde uygulanmasını sağlamak.</w:t>
      </w:r>
    </w:p>
    <w:p w:rsidR="0080393E" w:rsidRPr="0080393E" w:rsidRDefault="0080393E" w:rsidP="0080393E">
      <w:pPr>
        <w:tabs>
          <w:tab w:val="left" w:pos="37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İdari personelin sıfır atık konusunda bilinçlendirilmesini ve eğitimini sağlamak.</w:t>
      </w:r>
    </w:p>
    <w:p w:rsidR="0080393E" w:rsidRPr="0080393E" w:rsidRDefault="0080393E" w:rsidP="0080393E">
      <w:pPr>
        <w:tabs>
          <w:tab w:val="left" w:pos="37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Kaynak tüketiminde tasarrufu artırmak ve gereksiz kullanımın önüne geçmek.</w:t>
      </w:r>
    </w:p>
    <w:p w:rsidR="0080393E" w:rsidRPr="0080393E" w:rsidRDefault="0080393E" w:rsidP="0080393E">
      <w:pPr>
        <w:tabs>
          <w:tab w:val="left" w:pos="37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Geri dönüştürülebilir atıkların toplanması ve kayıt altına alınmasını sağlamak.</w:t>
      </w:r>
    </w:p>
    <w:p w:rsidR="00D0637F" w:rsidRPr="00D0637F" w:rsidRDefault="0080393E" w:rsidP="0080393E">
      <w:pPr>
        <w:tabs>
          <w:tab w:val="left" w:pos="376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İdari hizmetlerin yürütülmesinde çevre dostu teknolojilerin kullanımını teşvik etmek.</w:t>
      </w:r>
    </w:p>
    <w:p w:rsidR="00D0637F" w:rsidRPr="0080393E" w:rsidRDefault="00D0637F" w:rsidP="00D0637F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  <w:r w:rsidRPr="0080393E">
        <w:rPr>
          <w:rFonts w:ascii="Times New Roman" w:hAnsi="Times New Roman" w:cs="Times New Roman"/>
          <w:b/>
          <w:sz w:val="24"/>
          <w:szCs w:val="24"/>
        </w:rPr>
        <w:t xml:space="preserve">5. POLİTİKA VE TEMEL İLKELER </w:t>
      </w:r>
    </w:p>
    <w:p w:rsidR="0080393E" w:rsidRPr="0080393E" w:rsidRDefault="0080393E" w:rsidP="0080393E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Atıkların kaynağında ayrıştırılması için gerekli düzenlemelerin yapılması,</w:t>
      </w:r>
    </w:p>
    <w:p w:rsidR="0080393E" w:rsidRPr="0080393E" w:rsidRDefault="0080393E" w:rsidP="0080393E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Kâğıt, su ve enerji tasarrufu sağlayacak idari uygulamaların hayata geçirilmesi,</w:t>
      </w:r>
    </w:p>
    <w:p w:rsidR="0080393E" w:rsidRPr="0080393E" w:rsidRDefault="0080393E" w:rsidP="0080393E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İdari personel için düzenli sıfır atık eğitimleri ve bilinçlendirme faaliyetleri yapılması,</w:t>
      </w:r>
    </w:p>
    <w:p w:rsidR="0080393E" w:rsidRPr="0080393E" w:rsidRDefault="0080393E" w:rsidP="0080393E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Elektronik belge yönetimi ve dijitalleşme süreçlerinin teşvik edilmesi,</w:t>
      </w:r>
    </w:p>
    <w:p w:rsidR="00D0637F" w:rsidRDefault="0080393E" w:rsidP="0080393E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80393E">
        <w:rPr>
          <w:rFonts w:ascii="Times New Roman" w:hAnsi="Times New Roman" w:cs="Times New Roman"/>
          <w:sz w:val="24"/>
          <w:szCs w:val="24"/>
        </w:rPr>
        <w:t>İdari birimlerin sıfır atık performanslarının düzenli olarak ölçülmesi, değerlendirilmesi ve raporlanması.</w:t>
      </w:r>
    </w:p>
    <w:p w:rsidR="00D0637F" w:rsidRDefault="00D0637F" w:rsidP="00D0637F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:rsidR="00D0637F" w:rsidRDefault="00D0637F" w:rsidP="00D0637F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:rsidR="00D0637F" w:rsidRDefault="00D0637F" w:rsidP="00D0637F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:rsidR="005E652E" w:rsidRDefault="005E652E" w:rsidP="00D0637F">
      <w:p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</w:rPr>
      </w:pPr>
      <w:r w:rsidRPr="005E652E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485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52E">
        <w:rPr>
          <w:rFonts w:ascii="Times New Roman" w:hAnsi="Times New Roman" w:cs="Times New Roman"/>
          <w:b/>
          <w:sz w:val="24"/>
          <w:szCs w:val="24"/>
        </w:rPr>
        <w:t>STRATEJİK HEDEFLER VE FAALİYET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857D6" w:rsidTr="004857D6">
        <w:tc>
          <w:tcPr>
            <w:tcW w:w="2265" w:type="dxa"/>
          </w:tcPr>
          <w:p w:rsidR="004857D6" w:rsidRPr="004857D6" w:rsidRDefault="004857D6" w:rsidP="005E6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D6">
              <w:rPr>
                <w:rFonts w:ascii="Times New Roman" w:hAnsi="Times New Roman" w:cs="Times New Roman"/>
                <w:b/>
                <w:sz w:val="24"/>
                <w:szCs w:val="24"/>
              </w:rPr>
              <w:t>Zaman Dilimi</w:t>
            </w:r>
          </w:p>
        </w:tc>
        <w:tc>
          <w:tcPr>
            <w:tcW w:w="2265" w:type="dxa"/>
          </w:tcPr>
          <w:p w:rsidR="004857D6" w:rsidRPr="004857D6" w:rsidRDefault="004857D6" w:rsidP="005E6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D6">
              <w:rPr>
                <w:rFonts w:ascii="Times New Roman" w:hAnsi="Times New Roman" w:cs="Times New Roman"/>
                <w:b/>
                <w:sz w:val="24"/>
                <w:szCs w:val="24"/>
              </w:rPr>
              <w:t>Hedef</w:t>
            </w:r>
          </w:p>
        </w:tc>
        <w:tc>
          <w:tcPr>
            <w:tcW w:w="2266" w:type="dxa"/>
          </w:tcPr>
          <w:p w:rsidR="004857D6" w:rsidRPr="004857D6" w:rsidRDefault="004857D6" w:rsidP="005E6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D6">
              <w:rPr>
                <w:rFonts w:ascii="Times New Roman" w:hAnsi="Times New Roman" w:cs="Times New Roman"/>
                <w:b/>
                <w:sz w:val="24"/>
                <w:szCs w:val="24"/>
              </w:rPr>
              <w:t>Faaliyetler</w:t>
            </w:r>
          </w:p>
        </w:tc>
        <w:tc>
          <w:tcPr>
            <w:tcW w:w="2266" w:type="dxa"/>
          </w:tcPr>
          <w:p w:rsidR="004857D6" w:rsidRPr="004857D6" w:rsidRDefault="004857D6" w:rsidP="005E6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D6">
              <w:rPr>
                <w:rFonts w:ascii="Times New Roman" w:hAnsi="Times New Roman" w:cs="Times New Roman"/>
                <w:b/>
                <w:sz w:val="24"/>
                <w:szCs w:val="24"/>
              </w:rPr>
              <w:t>Sorumlu Birim</w:t>
            </w:r>
          </w:p>
        </w:tc>
      </w:tr>
      <w:tr w:rsidR="004857D6" w:rsidTr="004857D6">
        <w:tc>
          <w:tcPr>
            <w:tcW w:w="2265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Kısa Vadeli (0-3 ay)</w:t>
            </w:r>
          </w:p>
        </w:tc>
        <w:tc>
          <w:tcPr>
            <w:tcW w:w="2265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Atık noktalarının belirlenmesi</w:t>
            </w:r>
          </w:p>
        </w:tc>
        <w:tc>
          <w:tcPr>
            <w:tcW w:w="2266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Kutu ve depolama alanlarının tespiti</w:t>
            </w:r>
          </w:p>
        </w:tc>
        <w:tc>
          <w:tcPr>
            <w:tcW w:w="2266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Sıfır Atık komisyonu</w:t>
            </w:r>
          </w:p>
        </w:tc>
      </w:tr>
      <w:tr w:rsidR="004857D6" w:rsidTr="004857D6">
        <w:tc>
          <w:tcPr>
            <w:tcW w:w="2265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 Vadeli (3-6 ay)</w:t>
            </w:r>
          </w:p>
        </w:tc>
        <w:tc>
          <w:tcPr>
            <w:tcW w:w="2265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Ayrıştırma sisteminin kurulması</w:t>
            </w:r>
          </w:p>
        </w:tc>
        <w:tc>
          <w:tcPr>
            <w:tcW w:w="2266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Bilgilendirme</w:t>
            </w:r>
          </w:p>
        </w:tc>
        <w:tc>
          <w:tcPr>
            <w:tcW w:w="2266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Koordinatörü</w:t>
            </w:r>
          </w:p>
        </w:tc>
      </w:tr>
      <w:tr w:rsidR="004857D6" w:rsidTr="004857D6">
        <w:tc>
          <w:tcPr>
            <w:tcW w:w="2265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 Vadeli (6-12)</w:t>
            </w:r>
          </w:p>
        </w:tc>
        <w:tc>
          <w:tcPr>
            <w:tcW w:w="2265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 dönüşüm süreçlerinin izlenmesi</w:t>
            </w:r>
          </w:p>
        </w:tc>
        <w:tc>
          <w:tcPr>
            <w:tcW w:w="2266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Raporlama</w:t>
            </w:r>
          </w:p>
        </w:tc>
        <w:tc>
          <w:tcPr>
            <w:tcW w:w="2266" w:type="dxa"/>
          </w:tcPr>
          <w:p w:rsidR="004857D6" w:rsidRDefault="004857D6" w:rsidP="005E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</w:tr>
    </w:tbl>
    <w:p w:rsidR="004857D6" w:rsidRDefault="004857D6" w:rsidP="005E652E">
      <w:pPr>
        <w:rPr>
          <w:rFonts w:ascii="Times New Roman" w:hAnsi="Times New Roman" w:cs="Times New Roman"/>
          <w:sz w:val="24"/>
          <w:szCs w:val="24"/>
        </w:rPr>
      </w:pPr>
    </w:p>
    <w:p w:rsidR="00D0637F" w:rsidRDefault="004857D6" w:rsidP="004857D6">
      <w:pPr>
        <w:rPr>
          <w:rFonts w:ascii="Times New Roman" w:hAnsi="Times New Roman" w:cs="Times New Roman"/>
          <w:b/>
          <w:sz w:val="24"/>
          <w:szCs w:val="24"/>
        </w:rPr>
      </w:pPr>
      <w:r w:rsidRPr="004857D6">
        <w:rPr>
          <w:rFonts w:ascii="Times New Roman" w:hAnsi="Times New Roman" w:cs="Times New Roman"/>
          <w:b/>
          <w:sz w:val="24"/>
          <w:szCs w:val="24"/>
        </w:rPr>
        <w:t>7. İZLEME, DEĞERLENDİRME VE RAPORLAMA</w:t>
      </w:r>
    </w:p>
    <w:p w:rsidR="00290970" w:rsidRPr="00290970" w:rsidRDefault="00290970" w:rsidP="00290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70">
        <w:rPr>
          <w:rFonts w:ascii="Times New Roman" w:hAnsi="Times New Roman" w:cs="Times New Roman"/>
          <w:sz w:val="24"/>
          <w:szCs w:val="24"/>
        </w:rPr>
        <w:t>Komisyon, yılda iki kez (Ekim – Mayıs) top</w:t>
      </w:r>
      <w:r>
        <w:rPr>
          <w:rFonts w:ascii="Times New Roman" w:hAnsi="Times New Roman" w:cs="Times New Roman"/>
          <w:sz w:val="24"/>
          <w:szCs w:val="24"/>
        </w:rPr>
        <w:t xml:space="preserve">lanarak uygulamaların durumunu </w:t>
      </w:r>
      <w:r w:rsidRPr="00290970">
        <w:rPr>
          <w:rFonts w:ascii="Times New Roman" w:hAnsi="Times New Roman" w:cs="Times New Roman"/>
          <w:sz w:val="24"/>
          <w:szCs w:val="24"/>
        </w:rPr>
        <w:t>değerlendirecektir. Her toplantı sonrası bir “İlerl</w:t>
      </w:r>
      <w:r>
        <w:rPr>
          <w:rFonts w:ascii="Times New Roman" w:hAnsi="Times New Roman" w:cs="Times New Roman"/>
          <w:sz w:val="24"/>
          <w:szCs w:val="24"/>
        </w:rPr>
        <w:t>eme Raporu” hazırlanacak ve başkanlık</w:t>
      </w:r>
      <w:r w:rsidRPr="00290970">
        <w:rPr>
          <w:rFonts w:ascii="Times New Roman" w:hAnsi="Times New Roman" w:cs="Times New Roman"/>
          <w:sz w:val="24"/>
          <w:szCs w:val="24"/>
        </w:rPr>
        <w:t xml:space="preserve"> web sayfasındaki 'Sıfır Atık Politikası' sekmesine eklenecektir. </w:t>
      </w:r>
    </w:p>
    <w:p w:rsidR="00290970" w:rsidRPr="00290970" w:rsidRDefault="00290970" w:rsidP="00290970">
      <w:pPr>
        <w:rPr>
          <w:rFonts w:ascii="Times New Roman" w:hAnsi="Times New Roman" w:cs="Times New Roman"/>
          <w:b/>
          <w:sz w:val="24"/>
          <w:szCs w:val="24"/>
        </w:rPr>
      </w:pPr>
      <w:r w:rsidRPr="00290970">
        <w:rPr>
          <w:rFonts w:ascii="Times New Roman" w:hAnsi="Times New Roman" w:cs="Times New Roman"/>
          <w:b/>
          <w:sz w:val="24"/>
          <w:szCs w:val="24"/>
        </w:rPr>
        <w:t xml:space="preserve">8. SONUÇ </w:t>
      </w:r>
    </w:p>
    <w:p w:rsidR="004857D6" w:rsidRPr="00290970" w:rsidRDefault="00290970" w:rsidP="00290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Strateji Geliştirme Daire Başkanlığı</w:t>
      </w:r>
      <w:r w:rsidRPr="00290970">
        <w:rPr>
          <w:rFonts w:ascii="Times New Roman" w:hAnsi="Times New Roman" w:cs="Times New Roman"/>
          <w:sz w:val="24"/>
          <w:szCs w:val="24"/>
        </w:rPr>
        <w:t xml:space="preserve"> Sıfır Atı</w:t>
      </w:r>
      <w:r>
        <w:rPr>
          <w:rFonts w:ascii="Times New Roman" w:hAnsi="Times New Roman" w:cs="Times New Roman"/>
          <w:sz w:val="24"/>
          <w:szCs w:val="24"/>
        </w:rPr>
        <w:t xml:space="preserve">k Komisyonu, bu stratejik plan </w:t>
      </w:r>
      <w:r w:rsidRPr="00290970">
        <w:rPr>
          <w:rFonts w:ascii="Times New Roman" w:hAnsi="Times New Roman" w:cs="Times New Roman"/>
          <w:sz w:val="24"/>
          <w:szCs w:val="24"/>
        </w:rPr>
        <w:t>doğrultusunda çevreye duyarlı, sürdürülebilir ve örnek bir</w:t>
      </w:r>
      <w:r w:rsidR="00A63D19">
        <w:rPr>
          <w:rFonts w:ascii="Times New Roman" w:hAnsi="Times New Roman" w:cs="Times New Roman"/>
          <w:sz w:val="24"/>
          <w:szCs w:val="24"/>
        </w:rPr>
        <w:t xml:space="preserve"> daire başkanlığı </w:t>
      </w:r>
      <w:r>
        <w:rPr>
          <w:rFonts w:ascii="Times New Roman" w:hAnsi="Times New Roman" w:cs="Times New Roman"/>
          <w:sz w:val="24"/>
          <w:szCs w:val="24"/>
        </w:rPr>
        <w:t xml:space="preserve">olma vizyonuyla </w:t>
      </w:r>
      <w:r w:rsidRPr="00290970">
        <w:rPr>
          <w:rFonts w:ascii="Times New Roman" w:hAnsi="Times New Roman" w:cs="Times New Roman"/>
          <w:sz w:val="24"/>
          <w:szCs w:val="24"/>
        </w:rPr>
        <w:t>çalışmalarını sürdürecektir.</w:t>
      </w:r>
      <w:r w:rsidR="004D0B3F">
        <w:rPr>
          <w:rFonts w:ascii="Times New Roman" w:hAnsi="Times New Roman" w:cs="Times New Roman"/>
          <w:sz w:val="24"/>
          <w:szCs w:val="24"/>
        </w:rPr>
        <w:t xml:space="preserve"> Dairemiz planın uygulanmasıyla birlikte, </w:t>
      </w:r>
      <w:r w:rsidRPr="00290970">
        <w:rPr>
          <w:rFonts w:ascii="Times New Roman" w:hAnsi="Times New Roman" w:cs="Times New Roman"/>
          <w:sz w:val="24"/>
          <w:szCs w:val="24"/>
        </w:rPr>
        <w:t>Gümüş Seviye’ye yük</w:t>
      </w:r>
      <w:r w:rsidR="004D0B3F">
        <w:rPr>
          <w:rFonts w:ascii="Times New Roman" w:hAnsi="Times New Roman" w:cs="Times New Roman"/>
          <w:sz w:val="24"/>
          <w:szCs w:val="24"/>
        </w:rPr>
        <w:t>selerek</w:t>
      </w:r>
      <w:r>
        <w:rPr>
          <w:rFonts w:ascii="Times New Roman" w:hAnsi="Times New Roman" w:cs="Times New Roman"/>
          <w:sz w:val="24"/>
          <w:szCs w:val="24"/>
        </w:rPr>
        <w:t xml:space="preserve"> Tokat Gaziosmanpaşa </w:t>
      </w:r>
      <w:r w:rsidRPr="00290970">
        <w:rPr>
          <w:rFonts w:ascii="Times New Roman" w:hAnsi="Times New Roman" w:cs="Times New Roman"/>
          <w:sz w:val="24"/>
          <w:szCs w:val="24"/>
        </w:rPr>
        <w:t>Üniversitesi’nin sıfır at</w:t>
      </w:r>
      <w:r w:rsidR="00A63D19">
        <w:rPr>
          <w:rFonts w:ascii="Times New Roman" w:hAnsi="Times New Roman" w:cs="Times New Roman"/>
          <w:sz w:val="24"/>
          <w:szCs w:val="24"/>
        </w:rPr>
        <w:t>ık vizyonuna güçlü katkı sunmayı</w:t>
      </w:r>
      <w:r w:rsidRPr="00290970">
        <w:rPr>
          <w:rFonts w:ascii="Times New Roman" w:hAnsi="Times New Roman" w:cs="Times New Roman"/>
          <w:sz w:val="24"/>
          <w:szCs w:val="24"/>
        </w:rPr>
        <w:t xml:space="preserve"> hedeflenmektedir.</w:t>
      </w:r>
    </w:p>
    <w:p w:rsidR="004857D6" w:rsidRPr="004857D6" w:rsidRDefault="004857D6" w:rsidP="0029097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857D6" w:rsidRPr="0048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33"/>
    <w:rsid w:val="00290970"/>
    <w:rsid w:val="002B65D6"/>
    <w:rsid w:val="003451AC"/>
    <w:rsid w:val="004857D6"/>
    <w:rsid w:val="004D0B3F"/>
    <w:rsid w:val="005E652E"/>
    <w:rsid w:val="0080393E"/>
    <w:rsid w:val="009D5DCD"/>
    <w:rsid w:val="00A63D19"/>
    <w:rsid w:val="00C32806"/>
    <w:rsid w:val="00D0637F"/>
    <w:rsid w:val="00E760D6"/>
    <w:rsid w:val="00E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C7A37-B0B1-41AA-9244-632045C4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37F"/>
    <w:pPr>
      <w:ind w:left="720"/>
      <w:contextualSpacing/>
    </w:pPr>
  </w:style>
  <w:style w:type="table" w:styleId="TabloKlavuzu">
    <w:name w:val="Table Grid"/>
    <w:basedOn w:val="NormalTablo"/>
    <w:uiPriority w:val="39"/>
    <w:rsid w:val="0048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12</cp:revision>
  <dcterms:created xsi:type="dcterms:W3CDTF">2025-11-04T11:23:00Z</dcterms:created>
  <dcterms:modified xsi:type="dcterms:W3CDTF">2025-11-04T12:58:00Z</dcterms:modified>
</cp:coreProperties>
</file>